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D3FDE7B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379BF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CB069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CB069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CB069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CB069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CB069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5220213" w:rsidR="00F64E2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5AFCC724" w14:textId="77777777" w:rsidR="00553EA5" w:rsidRPr="002D787C" w:rsidRDefault="00553EA5" w:rsidP="00553EA5">
            <w:pPr>
              <w:pStyle w:val="Odsekzoznamu"/>
              <w:numPr>
                <w:ilvl w:val="0"/>
                <w:numId w:val="11"/>
              </w:numPr>
              <w:spacing w:line="259" w:lineRule="auto"/>
              <w:ind w:left="1843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proofErr w:type="spellStart"/>
            <w:r w:rsidRPr="002D787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u w:val="single"/>
              </w:rPr>
              <w:t>Divízia</w:t>
            </w:r>
            <w:proofErr w:type="spellEnd"/>
            <w:r w:rsidRPr="002D787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u w:val="single"/>
              </w:rPr>
              <w:t xml:space="preserve"> 10 - </w:t>
            </w:r>
            <w:proofErr w:type="spellStart"/>
            <w:r w:rsidRPr="002D787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u w:val="single"/>
              </w:rPr>
              <w:t>Výroba</w:t>
            </w:r>
            <w:proofErr w:type="spellEnd"/>
            <w:r w:rsidRPr="002D787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u w:val="single"/>
              </w:rPr>
              <w:t xml:space="preserve"> potravín</w:t>
            </w:r>
          </w:p>
          <w:p w14:paraId="2E709622" w14:textId="77777777" w:rsidR="00553EA5" w:rsidRPr="002D787C" w:rsidRDefault="00553EA5" w:rsidP="00553EA5">
            <w:pPr>
              <w:pStyle w:val="Odsekzoznamu"/>
              <w:numPr>
                <w:ilvl w:val="0"/>
                <w:numId w:val="11"/>
              </w:numPr>
              <w:spacing w:line="259" w:lineRule="auto"/>
              <w:ind w:left="1843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r w:rsidRPr="002D787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u w:val="single"/>
              </w:rPr>
              <w:t>Divízia 11 – Výrova nápojov</w:t>
            </w:r>
          </w:p>
          <w:p w14:paraId="68EB0524" w14:textId="72144FAA" w:rsidR="00F64E2F" w:rsidRPr="00CB069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CB069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CB069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CB0698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34DF5DA8" w:rsidR="00F64E2F" w:rsidRPr="004B763F" w:rsidRDefault="00E10093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10093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  <w:r w:rsidR="00F64E2F"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5D3C66F" w14:textId="7818BFE8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775C8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="00D90F4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  <w:r w:rsidR="00D90F4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.</w:t>
            </w:r>
          </w:p>
          <w:p w14:paraId="18705FAD" w14:textId="77777777" w:rsidR="00120363" w:rsidRDefault="00120363" w:rsidP="00120363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 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0EA5B0AC" w14:textId="52237887" w:rsidR="00120363" w:rsidRPr="00773273" w:rsidRDefault="00120363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CB0698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CB0698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CB0698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6116EAEA" w:rsidR="00856D01" w:rsidRPr="00CB0698" w:rsidRDefault="00856D01" w:rsidP="004B5802">
      <w:pPr>
        <w:rPr>
          <w:rFonts w:asciiTheme="minorHAnsi" w:hAnsiTheme="minorHAnsi" w:cstheme="minorHAnsi"/>
        </w:rPr>
      </w:pPr>
    </w:p>
    <w:sectPr w:rsidR="00856D01" w:rsidRPr="00CB069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00BE" w14:textId="77777777" w:rsidR="00B42C4F" w:rsidRDefault="00B42C4F" w:rsidP="007900C1">
      <w:r>
        <w:separator/>
      </w:r>
    </w:p>
  </w:endnote>
  <w:endnote w:type="continuationSeparator" w:id="0">
    <w:p w14:paraId="0553C66F" w14:textId="77777777" w:rsidR="00B42C4F" w:rsidRDefault="00B42C4F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36F" w14:textId="2B39CC86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6B9A138F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934D3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89AE" w14:textId="77777777" w:rsidR="00B42C4F" w:rsidRDefault="00B42C4F" w:rsidP="007900C1">
      <w:r>
        <w:separator/>
      </w:r>
    </w:p>
  </w:footnote>
  <w:footnote w:type="continuationSeparator" w:id="0">
    <w:p w14:paraId="7EC6A163" w14:textId="77777777" w:rsidR="00B42C4F" w:rsidRDefault="00B42C4F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EC0B" w14:textId="6191FA9C" w:rsidR="00A76425" w:rsidRDefault="00915753" w:rsidP="00437D96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6672" behindDoc="1" locked="0" layoutInCell="1" allowOverlap="1" wp14:anchorId="6260F514" wp14:editId="536DD5F7">
          <wp:simplePos x="0" y="0"/>
          <wp:positionH relativeFrom="column">
            <wp:posOffset>1653871</wp:posOffset>
          </wp:positionH>
          <wp:positionV relativeFrom="paragraph">
            <wp:posOffset>-81115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24" name="Obrázok 2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4D3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1" locked="0" layoutInCell="1" allowOverlap="1" wp14:anchorId="6A5AC025" wp14:editId="5FD9A051">
          <wp:simplePos x="0" y="0"/>
          <wp:positionH relativeFrom="column">
            <wp:posOffset>6421755</wp:posOffset>
          </wp:positionH>
          <wp:positionV relativeFrom="paragraph">
            <wp:posOffset>-132080</wp:posOffset>
          </wp:positionV>
          <wp:extent cx="1143000" cy="463550"/>
          <wp:effectExtent l="0" t="0" r="0" b="0"/>
          <wp:wrapNone/>
          <wp:docPr id="25" name="Obrázok 25" descr="C:\Users\petra.supakova\AppData\Local\Microsoft\Windows\INetCache\Content.Word\MAS_11_PLUS_ logo_fareb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a.supakova\AppData\Local\Microsoft\Windows\INetCache\Content.Word\MAS_11_PLUS_ logo_farebn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F446546" w14:textId="26101BAE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760A" w14:textId="23581351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0" name="Obrázok 30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1B35" w14:textId="313624E5" w:rsidR="001A3CEF" w:rsidRDefault="001A3CEF" w:rsidP="001A3CEF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4624" behindDoc="1" locked="0" layoutInCell="1" allowOverlap="1" wp14:anchorId="258382F0" wp14:editId="4142FC6A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2" name="Obrázok 32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1" locked="0" layoutInCell="1" allowOverlap="1" wp14:anchorId="41DA566F" wp14:editId="7032B7B0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64BDD332" wp14:editId="615C1388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11A48438" w14:textId="77777777" w:rsidR="001A3CEF" w:rsidRDefault="001A3CEF" w:rsidP="001A3CEF">
    <w:pPr>
      <w:pStyle w:val="Hlavika"/>
      <w:tabs>
        <w:tab w:val="right" w:pos="14004"/>
      </w:tabs>
    </w:pPr>
  </w:p>
  <w:p w14:paraId="6F710227" w14:textId="77777777" w:rsidR="001A3CEF" w:rsidRDefault="001A3CEF" w:rsidP="001A3CEF">
    <w:pPr>
      <w:pStyle w:val="Hlavika"/>
      <w:tabs>
        <w:tab w:val="right" w:pos="14004"/>
      </w:tabs>
    </w:pPr>
  </w:p>
  <w:p w14:paraId="5D6C79A4" w14:textId="77777777" w:rsidR="001A3CEF" w:rsidRPr="001B5DCB" w:rsidRDefault="001A3CEF" w:rsidP="001A3CEF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  <w:p w14:paraId="3C318979" w14:textId="664C80A5" w:rsidR="00A76425" w:rsidRPr="001B5DCB" w:rsidRDefault="00A76425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020D5"/>
    <w:multiLevelType w:val="hybridMultilevel"/>
    <w:tmpl w:val="956CB7B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4D3"/>
    <w:rsid w:val="0009378B"/>
    <w:rsid w:val="000950EA"/>
    <w:rsid w:val="000A04DC"/>
    <w:rsid w:val="000A5B92"/>
    <w:rsid w:val="000B25BD"/>
    <w:rsid w:val="000E52FF"/>
    <w:rsid w:val="00106314"/>
    <w:rsid w:val="00113C2C"/>
    <w:rsid w:val="00114544"/>
    <w:rsid w:val="00120363"/>
    <w:rsid w:val="001334FC"/>
    <w:rsid w:val="001663AC"/>
    <w:rsid w:val="001770B0"/>
    <w:rsid w:val="001A3CEF"/>
    <w:rsid w:val="001A66A4"/>
    <w:rsid w:val="001B4D56"/>
    <w:rsid w:val="001C22E9"/>
    <w:rsid w:val="001C297B"/>
    <w:rsid w:val="001F08C9"/>
    <w:rsid w:val="00222486"/>
    <w:rsid w:val="00224D63"/>
    <w:rsid w:val="00253B50"/>
    <w:rsid w:val="00286B67"/>
    <w:rsid w:val="00290A29"/>
    <w:rsid w:val="002A4B1F"/>
    <w:rsid w:val="002B76C5"/>
    <w:rsid w:val="002D45AB"/>
    <w:rsid w:val="002D787C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53EA5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64D15"/>
    <w:rsid w:val="007723AE"/>
    <w:rsid w:val="00773273"/>
    <w:rsid w:val="00775C8F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36FA"/>
    <w:rsid w:val="00884FC7"/>
    <w:rsid w:val="008878AF"/>
    <w:rsid w:val="00895F57"/>
    <w:rsid w:val="008C0C85"/>
    <w:rsid w:val="00910377"/>
    <w:rsid w:val="00915753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379BF"/>
    <w:rsid w:val="00A76425"/>
    <w:rsid w:val="00AD3328"/>
    <w:rsid w:val="00B0092A"/>
    <w:rsid w:val="00B24ED0"/>
    <w:rsid w:val="00B42C4F"/>
    <w:rsid w:val="00B46148"/>
    <w:rsid w:val="00B505EC"/>
    <w:rsid w:val="00B73919"/>
    <w:rsid w:val="00B7415C"/>
    <w:rsid w:val="00B97C29"/>
    <w:rsid w:val="00BA25DC"/>
    <w:rsid w:val="00BF6595"/>
    <w:rsid w:val="00CB0698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0F41"/>
    <w:rsid w:val="00D91118"/>
    <w:rsid w:val="00DA2EC4"/>
    <w:rsid w:val="00DD6BA2"/>
    <w:rsid w:val="00E10093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,Farebný zoznam – zvýraznenie 11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,Farebný zoznam – zvýraznenie 11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82A6-9E83-4B6C-A3F7-C8DB93FB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riaditel@krr.sk</cp:lastModifiedBy>
  <cp:revision>2</cp:revision>
  <dcterms:created xsi:type="dcterms:W3CDTF">2022-01-31T07:43:00Z</dcterms:created>
  <dcterms:modified xsi:type="dcterms:W3CDTF">2022-01-31T07:43:00Z</dcterms:modified>
</cp:coreProperties>
</file>